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D23" w:rsidRPr="001D357B" w:rsidRDefault="00840D23" w:rsidP="00840D23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1D357B">
        <w:rPr>
          <w:rFonts w:ascii="Times New Roman" w:eastAsia="Calibri" w:hAnsi="Times New Roman" w:cs="Times New Roman"/>
          <w:sz w:val="24"/>
          <w:szCs w:val="24"/>
        </w:rPr>
        <w:t xml:space="preserve">                    Приложение №</w:t>
      </w:r>
      <w:bookmarkStart w:id="0" w:name="_GoBack"/>
      <w:bookmarkEnd w:id="0"/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16</w:t>
      </w: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" w:name="P1620"/>
      <w:bookmarkEnd w:id="1"/>
      <w:r w:rsidRPr="001D357B">
        <w:rPr>
          <w:rFonts w:ascii="Times New Roman" w:eastAsia="Calibri" w:hAnsi="Times New Roman" w:cs="Times New Roman"/>
          <w:b/>
          <w:sz w:val="24"/>
          <w:szCs w:val="24"/>
        </w:rPr>
        <w:t>Порядок выдачи под отчет денежных документов,</w:t>
      </w:r>
    </w:p>
    <w:p w:rsidR="00840D23" w:rsidRPr="001D357B" w:rsidRDefault="00840D23" w:rsidP="00840D23">
      <w:pPr>
        <w:spacing w:after="1" w:line="22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sz w:val="24"/>
          <w:szCs w:val="24"/>
        </w:rPr>
        <w:t>составления и представления отчетов подотчетными лицами</w:t>
      </w: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sz w:val="24"/>
          <w:szCs w:val="24"/>
        </w:rPr>
        <w:t>1. Общие положения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1.1. Порядок устанавливает правила выдачи под отчет денежных документов, составления, представления, проверки и утверждения отчетов об их использовании.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sz w:val="24"/>
          <w:szCs w:val="24"/>
        </w:rPr>
        <w:t>2. Порядок выдачи денежных документов под отчет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i/>
          <w:sz w:val="24"/>
          <w:szCs w:val="24"/>
        </w:rPr>
        <w:t>Денежные документы в бумажном виде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2.1. Получать денежные документы имеют право работники, замещающие должности, которые приведены в перечне, утверждаемом распорядительным актом руководителя.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2.2. Выдача под отчет денежных документов производится из кассы по расходному кассовому ордеру с надписью "фондовый" на основании письменного заявления получателя.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2.3. В заявлении о выдаче денежных документов под отчет получатель указывает наименование, количество и назначение денежных документов. Форма заявления приведена в </w:t>
      </w:r>
      <w:hyperlink w:anchor="P1662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Приложении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к настоящему Порядку.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2.4. На заявлении работника уполномоченное должностное лицо делает отметку о наличии на текущую дату задолженности за получателем по ранее выданным ему денежным документам. При наличии задолженности указываются наименования и количество денежных документов, за которые работник не отчитался, а также срок отчета по ним, ставятся дата и подпись уполномоченного лица. Если задолженности нет, на заявлении проставляется отметка "Задолженность отсутствует" с указанием даты и подписи уполномоченного лица.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2.5. Руководитель в течение двух рабочих дней рассматривает заявление и указывает на нем наименования, количество, сумму выдаваемых под отчет работнику денежных документов, срок, на который они выдаются, ставит подпись и дату.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2.6. Выдача под отчет денежных документов производится при отсутствии за подотчетным лицом задолженности по денежным документам, по которым наступил срок представления авансового отчета </w:t>
      </w:r>
      <w:hyperlink r:id="rId4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2.7. Максимальный срок выдачи денежных документов под отчет (кроме топливных карт) составляет 30 календарных дней. Не использованные в срок денежные документы возвращаются в кассу.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i/>
          <w:sz w:val="24"/>
          <w:szCs w:val="24"/>
        </w:rPr>
        <w:t>Электронные билеты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2.8. Электронные билеты приобретаются на имя работников и выдаются им в порядке, аналогичном выдаче бумажных денежных документов. Работнику выдается распечатка электронного билета.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b/>
          <w:sz w:val="24"/>
          <w:szCs w:val="24"/>
        </w:rPr>
        <w:t>3. Составление, представление отчетности подотчетными лицами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3.1. Об использовании денежных документов подотчетное лицо должно отчитаться. Для этого нужно представить авансовый отчет с приложением документов, подтверждающих их использование.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3.2. Документом, подтверждающим использование конвертов с марками и марок, является реестр отправленной корреспонденции. Испорченные конверты также прилагаются к авансовому отчету.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3.3. По проездным билетам для проезда в городском пассажирском транспорте в качестве подтверждающих документов к авансовому отчету </w:t>
      </w:r>
      <w:hyperlink r:id="rId5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прилагаются использованные проездные билеты.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3.4. Авансовый отчет </w:t>
      </w:r>
      <w:hyperlink r:id="rId6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представляется подотчетным лицом для отражения в учете и отчетности не позднее трех рабочих дней со дня истечения срока, на который были выданы денежные документы.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3.5. Должностные лица, ответственные за оформление соответствующих фактов хозяйственной жизни, проверяют правильность оформления авансового отчета </w:t>
      </w:r>
      <w:hyperlink r:id="rId7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>, наличие документов, подтверждающих использование денежных документов.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3.6. Проверенный авансовый отчет </w:t>
      </w:r>
      <w:hyperlink r:id="rId8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утверждается руководителем, после чего принимается к учету.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3.7. Проверка и утверждение отчета осуществляются в течение трех рабочих дней со дня представления его подотчетным лицом.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3.8. Остаток неиспользованных денежных документов вносится подотчетным лицом в кассу по приходному кассовому ордеру с надписью "фондовый" не позднее дня, следующего за днем утверждения руководителем авансового отчета </w:t>
      </w:r>
      <w:hyperlink r:id="rId9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3.9. Если подотчетным лицом не представлен в установленный срок авансовый отчет </w:t>
      </w:r>
      <w:hyperlink r:id="rId10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(ф. 0504505)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или не внесен в кассу остаток неиспользованных денежных документов, работодатель имеет право удержать сумму задолженности по выданным денежным документам из заработной платы работника с соблюдением требований </w:t>
      </w:r>
      <w:hyperlink r:id="rId11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ст. ст. 137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hyperlink r:id="rId12" w:history="1">
        <w:r w:rsidRPr="001D357B">
          <w:rPr>
            <w:rFonts w:ascii="Times New Roman" w:eastAsia="Calibri" w:hAnsi="Times New Roman" w:cs="Times New Roman"/>
            <w:sz w:val="24"/>
            <w:szCs w:val="24"/>
          </w:rPr>
          <w:t>138</w:t>
        </w:r>
      </w:hyperlink>
      <w:r w:rsidRPr="001D357B">
        <w:rPr>
          <w:rFonts w:ascii="Times New Roman" w:eastAsia="Calibri" w:hAnsi="Times New Roman" w:cs="Times New Roman"/>
          <w:sz w:val="24"/>
          <w:szCs w:val="24"/>
        </w:rPr>
        <w:t xml:space="preserve"> ТК РФ.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357B">
        <w:rPr>
          <w:rFonts w:ascii="Times New Roman" w:eastAsia="Calibri" w:hAnsi="Times New Roman" w:cs="Times New Roman"/>
          <w:sz w:val="24"/>
          <w:szCs w:val="24"/>
        </w:rPr>
        <w:t>3.10. В случае увольнения работника, имеющего задолженность по полученным под отчет денежным документам, их стоимость взыскивается с работника в порядке возмещения им прямого действительного нанесенного ущерба.</w:t>
      </w:r>
    </w:p>
    <w:p w:rsidR="00840D23" w:rsidRPr="001D357B" w:rsidRDefault="00840D23" w:rsidP="00840D23">
      <w:pPr>
        <w:spacing w:after="0" w:line="2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40D23" w:rsidRPr="001D357B" w:rsidRDefault="00840D23" w:rsidP="00840D23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right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840D23" w:rsidRPr="001D357B" w:rsidRDefault="00840D23" w:rsidP="00840D23">
      <w:pPr>
        <w:spacing w:after="1" w:line="220" w:lineRule="atLeast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54A1A" w:rsidRPr="001D357B" w:rsidRDefault="00C54A1A">
      <w:pPr>
        <w:rPr>
          <w:rFonts w:ascii="Times New Roman" w:hAnsi="Times New Roman" w:cs="Times New Roman"/>
          <w:sz w:val="24"/>
          <w:szCs w:val="24"/>
        </w:rPr>
      </w:pPr>
    </w:p>
    <w:sectPr w:rsidR="00C54A1A" w:rsidRPr="001D357B" w:rsidSect="001D35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D23"/>
    <w:rsid w:val="001D357B"/>
    <w:rsid w:val="00840D23"/>
    <w:rsid w:val="00C5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F248C-3591-4A78-99A1-F0E09195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35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3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2" Type="http://schemas.openxmlformats.org/officeDocument/2006/relationships/hyperlink" Target="consultantplus://offline/ref=F7DCF8E036FAD6B0B826714DB8097F81BD02507D6DFAAC2B80CD7CF160E1CCB03818C9F26548599080E5DD2FBD14A4ADE5B844B79A304872zDX6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1" Type="http://schemas.openxmlformats.org/officeDocument/2006/relationships/hyperlink" Target="consultantplus://offline/ref=F7DCF8E036FAD6B0B826714DB8097F81BD02507D6DFAAC2B80CD7CF160E1CCB03818C9F26548599782E5DD2FBD14A4ADE5B844B79A304872zDX6I" TargetMode="External"/><Relationship Id="rId5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0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4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9" Type="http://schemas.openxmlformats.org/officeDocument/2006/relationships/hyperlink" Target="consultantplus://offline/ref=F7DCF8E036FAD6B0B826714DB8097F81BC09557E61FFAC2B80CD7CF160E1CCB03818C9F2654A509682E5DD2FBD14A4ADE5B844B79A304872zDX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2023-03-28T10:13:00Z</cp:lastPrinted>
  <dcterms:created xsi:type="dcterms:W3CDTF">2023-03-28T09:30:00Z</dcterms:created>
  <dcterms:modified xsi:type="dcterms:W3CDTF">2023-03-28T10:13:00Z</dcterms:modified>
</cp:coreProperties>
</file>